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9" w:rsidRPr="00224A77" w:rsidRDefault="00D777B8">
      <w:pPr>
        <w:shd w:val="solid" w:color="FFFFFF" w:fill="auto"/>
        <w:autoSpaceDN w:val="0"/>
        <w:spacing w:line="384" w:lineRule="auto"/>
        <w:jc w:val="center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 w:rsidRPr="00224A77"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  <w:t>物业</w:t>
      </w:r>
      <w:r w:rsidR="00224A77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承接查验</w:t>
      </w:r>
      <w:r w:rsidRPr="00224A77"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  <w:t>交接记录</w:t>
      </w:r>
    </w:p>
    <w:tbl>
      <w:tblPr>
        <w:tblW w:w="8934" w:type="dxa"/>
        <w:tblInd w:w="108" w:type="dxa"/>
        <w:tblLayout w:type="fixed"/>
        <w:tblLook w:val="04A0"/>
      </w:tblPr>
      <w:tblGrid>
        <w:gridCol w:w="1843"/>
        <w:gridCol w:w="7091"/>
      </w:tblGrid>
      <w:tr w:rsidR="00B84E99" w:rsidTr="0070092D">
        <w:trPr>
          <w:trHeight w:val="50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70092D">
            <w:pPr>
              <w:shd w:val="solid" w:color="FFFFFF" w:fill="auto"/>
              <w:autoSpaceDN w:val="0"/>
              <w:spacing w:line="384" w:lineRule="auto"/>
              <w:ind w:firstLineChars="100" w:firstLine="240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查验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224A77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区</w:t>
            </w: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="00224A77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项目</w:t>
            </w:r>
          </w:p>
        </w:tc>
      </w:tr>
      <w:tr w:rsidR="00B84E99" w:rsidTr="0070092D">
        <w:trPr>
          <w:trHeight w:val="51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70092D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="00D777B8">
              <w:rPr>
                <w:rFonts w:ascii="宋体" w:hAnsi="宋体"/>
                <w:sz w:val="24"/>
                <w:szCs w:val="24"/>
                <w:shd w:val="clear" w:color="auto" w:fill="FFFFFF"/>
              </w:rPr>
              <w:t>基础资料</w:t>
            </w:r>
          </w:p>
          <w:p w:rsidR="00B84E99" w:rsidRDefault="00D777B8">
            <w:pPr>
              <w:shd w:val="solid" w:color="FFFFFF" w:fill="auto"/>
              <w:autoSpaceDN w:val="0"/>
              <w:spacing w:line="384" w:lineRule="auto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竣工验收合格报告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页</w:t>
            </w:r>
          </w:p>
        </w:tc>
      </w:tr>
      <w:tr w:rsidR="00B84E99" w:rsidTr="0070092D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规划详图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sz w:val="24"/>
                <w:szCs w:val="24"/>
                <w:shd w:val="clear" w:color="auto" w:fill="FFFFFF"/>
              </w:rPr>
              <w:t>竣工总平面图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</w:p>
        </w:tc>
      </w:tr>
      <w:tr w:rsidR="00B84E99" w:rsidTr="0070092D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土建</w:t>
            </w:r>
            <w:r>
              <w:rPr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水</w:t>
            </w:r>
            <w:r>
              <w:rPr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电器</w:t>
            </w:r>
            <w:r>
              <w:rPr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节能</w:t>
            </w:r>
            <w:r>
              <w:rPr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分户验收资料－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</w:p>
        </w:tc>
      </w:tr>
      <w:tr w:rsidR="00B84E99" w:rsidTr="0070092D">
        <w:trPr>
          <w:trHeight w:val="505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单体建筑、结构、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水电</w:t>
            </w:r>
            <w:r>
              <w:rPr>
                <w:sz w:val="24"/>
                <w:szCs w:val="24"/>
                <w:shd w:val="clear" w:color="auto" w:fill="FFFFFF"/>
              </w:rPr>
              <w:t>的竣工图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各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（本）</w:t>
            </w:r>
          </w:p>
        </w:tc>
      </w:tr>
      <w:tr w:rsidR="00B84E99" w:rsidTr="0070092D">
        <w:trPr>
          <w:trHeight w:val="563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224A77">
            <w:pPr>
              <w:shd w:val="solid" w:color="FFFFFF" w:fill="auto"/>
              <w:autoSpaceDN w:val="0"/>
              <w:spacing w:line="40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附属配套设施、地下管网工程竣工图等资料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各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（本）</w:t>
            </w:r>
          </w:p>
        </w:tc>
      </w:tr>
      <w:tr w:rsidR="00B84E99" w:rsidTr="0070092D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224A77">
            <w:pPr>
              <w:shd w:val="solid" w:color="FFFFFF" w:fill="auto"/>
              <w:autoSpaceDN w:val="0"/>
              <w:spacing w:line="40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供水协议书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页</w:t>
            </w:r>
          </w:p>
        </w:tc>
      </w:tr>
      <w:tr w:rsidR="00B84E99" w:rsidTr="0070092D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B84E99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224A77">
            <w:pPr>
              <w:shd w:val="solid" w:color="FFFFFF" w:fill="auto"/>
              <w:autoSpaceDN w:val="0"/>
              <w:spacing w:line="400" w:lineRule="exac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供电协议书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页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84E99" w:rsidRDefault="00D777B8" w:rsidP="00224A77">
            <w:pPr>
              <w:shd w:val="solid" w:color="FFFFFF" w:fill="auto"/>
              <w:autoSpaceDN w:val="0"/>
              <w:spacing w:line="400" w:lineRule="exact"/>
              <w:rPr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供气协议书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份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页</w:t>
            </w:r>
          </w:p>
        </w:tc>
      </w:tr>
      <w:tr w:rsidR="00B84E99" w:rsidTr="0070092D">
        <w:trPr>
          <w:trHeight w:val="1252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70092D">
            <w:pPr>
              <w:shd w:val="solid" w:color="FFFFFF" w:fill="auto"/>
              <w:autoSpaceDN w:val="0"/>
              <w:spacing w:line="384" w:lineRule="auto"/>
              <w:ind w:right="15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="00D777B8">
              <w:rPr>
                <w:rFonts w:ascii="宋体" w:hAnsi="宋体"/>
                <w:sz w:val="24"/>
                <w:szCs w:val="24"/>
                <w:shd w:val="clear" w:color="auto" w:fill="FFFFFF"/>
              </w:rPr>
              <w:t>共用部位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224A77">
            <w:pPr>
              <w:shd w:val="solid" w:color="FFFFFF" w:fill="auto"/>
              <w:autoSpaceDN w:val="0"/>
              <w:spacing w:line="40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建筑物的基础、承重墙体、柱、梁、楼板、屋顶以及外墙、门厅、楼梯间、走廊、楼道、扶手、护栏、电梯井道、架空层及设备间等</w:t>
            </w:r>
          </w:p>
        </w:tc>
      </w:tr>
      <w:tr w:rsidR="00B84E99" w:rsidTr="0070092D">
        <w:trPr>
          <w:trHeight w:val="1404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70092D">
            <w:pPr>
              <w:shd w:val="solid" w:color="FFFFFF" w:fill="auto"/>
              <w:autoSpaceDN w:val="0"/>
              <w:spacing w:line="384" w:lineRule="auto"/>
              <w:ind w:right="15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777B8">
              <w:rPr>
                <w:rFonts w:ascii="宋体" w:hAnsi="宋体"/>
                <w:sz w:val="24"/>
                <w:szCs w:val="24"/>
                <w:shd w:val="clear" w:color="auto" w:fill="FFFFFF"/>
              </w:rPr>
              <w:t>共用设施设备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7" w:rsidRPr="00224A77" w:rsidRDefault="00D777B8" w:rsidP="00224A77">
            <w:pPr>
              <w:shd w:val="solid" w:color="FFFFFF" w:fill="auto"/>
              <w:autoSpaceDN w:val="0"/>
              <w:spacing w:line="400" w:lineRule="exac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小区道路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米，地下停车场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个，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公共路灯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座、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小区雨污水地下总管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米，雨污窨井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个，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化粪池</w:t>
            </w: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个、垃圾桶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个。消防栓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个、消防水池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个、消防电气控制设备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套、水泵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生活水箱水池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个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、高低压配电室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间、配电机箱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个、发电机组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套、公共区域配电箱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个、入侵报警系统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套、出入口控制系统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套、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摄像头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个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监控显示器</w:t>
            </w:r>
            <w:r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个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、电梯设备</w:t>
            </w: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台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224A77" w:rsidTr="0070092D">
        <w:trPr>
          <w:trHeight w:val="614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7" w:rsidRDefault="00224A77" w:rsidP="0070092D">
            <w:pPr>
              <w:shd w:val="solid" w:color="FFFFFF" w:fill="auto"/>
              <w:autoSpaceDN w:val="0"/>
              <w:spacing w:line="384" w:lineRule="auto"/>
              <w:ind w:right="15" w:firstLineChars="100" w:firstLine="240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共有部位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7" w:rsidRDefault="0070092D">
            <w:pPr>
              <w:shd w:val="solid" w:color="FFFFFF" w:fill="auto"/>
              <w:autoSpaceDN w:val="0"/>
              <w:spacing w:line="384" w:lineRule="auto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绿地、道路、非经营性车场（车库）、公益性文体设施、公用设施设备用房、物业服务用房等。</w:t>
            </w:r>
          </w:p>
        </w:tc>
      </w:tr>
      <w:tr w:rsidR="00B84E99" w:rsidTr="0070092D">
        <w:trPr>
          <w:trHeight w:val="614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70092D">
            <w:pPr>
              <w:shd w:val="solid" w:color="FFFFFF" w:fill="auto"/>
              <w:autoSpaceDN w:val="0"/>
              <w:spacing w:line="384" w:lineRule="auto"/>
              <w:ind w:right="15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="00D777B8">
              <w:rPr>
                <w:rFonts w:ascii="宋体" w:hAnsi="宋体"/>
                <w:sz w:val="24"/>
                <w:szCs w:val="24"/>
                <w:shd w:val="clear" w:color="auto" w:fill="FFFFFF"/>
              </w:rPr>
              <w:t>交接方式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E99" w:rsidRDefault="00D777B8" w:rsidP="0070092D">
            <w:pPr>
              <w:shd w:val="solid" w:color="FFFFFF" w:fill="auto"/>
              <w:autoSpaceDN w:val="0"/>
              <w:spacing w:line="384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现场交接</w:t>
            </w:r>
          </w:p>
        </w:tc>
      </w:tr>
    </w:tbl>
    <w:p w:rsidR="00B84E99" w:rsidRDefault="00D777B8">
      <w:pPr>
        <w:shd w:val="solid" w:color="FFFFFF" w:fill="auto"/>
        <w:autoSpaceDN w:val="0"/>
        <w:spacing w:line="384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sz w:val="24"/>
          <w:szCs w:val="24"/>
          <w:shd w:val="clear" w:color="auto" w:fill="FFFFFF"/>
        </w:rPr>
        <w:t>移交单位：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            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</w:t>
      </w:r>
      <w:r>
        <w:rPr>
          <w:rFonts w:ascii="宋体" w:hAnsi="宋体"/>
          <w:sz w:val="24"/>
          <w:szCs w:val="24"/>
          <w:shd w:val="clear" w:color="auto" w:fill="FFFFFF"/>
        </w:rPr>
        <w:t>接收单位：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</w:t>
      </w:r>
    </w:p>
    <w:p w:rsidR="0070092D" w:rsidRDefault="00D777B8">
      <w:pPr>
        <w:shd w:val="solid" w:color="FFFFFF" w:fill="auto"/>
        <w:autoSpaceDN w:val="0"/>
        <w:spacing w:line="384" w:lineRule="auto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84E99" w:rsidRDefault="00D777B8" w:rsidP="0070092D">
      <w:pPr>
        <w:shd w:val="solid" w:color="FFFFFF" w:fill="auto"/>
        <w:autoSpaceDN w:val="0"/>
        <w:spacing w:line="384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经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办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人：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宋体" w:hAnsi="宋体"/>
          <w:sz w:val="24"/>
          <w:szCs w:val="24"/>
          <w:shd w:val="clear" w:color="auto" w:fill="FFFFFF"/>
        </w:rPr>
        <w:t>经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办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人：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</w:t>
      </w:r>
    </w:p>
    <w:p w:rsidR="0070092D" w:rsidRDefault="00D777B8">
      <w:pPr>
        <w:shd w:val="solid" w:color="FFFFFF" w:fill="auto"/>
        <w:autoSpaceDN w:val="0"/>
        <w:spacing w:line="384" w:lineRule="auto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</w:p>
    <w:p w:rsidR="00B84E99" w:rsidRDefault="00D777B8" w:rsidP="0070092D">
      <w:pPr>
        <w:shd w:val="solid" w:color="FFFFFF" w:fill="auto"/>
        <w:autoSpaceDN w:val="0"/>
        <w:spacing w:line="384" w:lineRule="auto"/>
        <w:ind w:firstLineChars="150" w:firstLine="360"/>
      </w:pPr>
      <w:r>
        <w:rPr>
          <w:rFonts w:ascii="宋体" w:hAnsi="宋体" w:hint="eastAsia"/>
          <w:sz w:val="24"/>
          <w:szCs w:val="24"/>
          <w:shd w:val="clear" w:color="auto" w:fill="FFFFFF"/>
        </w:rPr>
        <w:t>交接</w:t>
      </w:r>
      <w:r>
        <w:rPr>
          <w:rFonts w:ascii="宋体" w:hAnsi="宋体"/>
          <w:sz w:val="24"/>
          <w:szCs w:val="24"/>
          <w:shd w:val="clear" w:color="auto" w:fill="FFFFFF"/>
        </w:rPr>
        <w:t>日期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（时间）</w:t>
      </w:r>
      <w:r>
        <w:rPr>
          <w:rFonts w:ascii="宋体" w:hAnsi="宋体"/>
          <w:sz w:val="24"/>
          <w:szCs w:val="24"/>
          <w:shd w:val="clear" w:color="auto" w:fill="FFFFFF"/>
        </w:rPr>
        <w:t>：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</w:t>
      </w:r>
      <w:r>
        <w:rPr>
          <w:rFonts w:ascii="宋体" w:hAnsi="宋体" w:hint="eastAsia"/>
          <w:sz w:val="24"/>
          <w:szCs w:val="24"/>
          <w:shd w:val="clear" w:color="auto" w:fill="FFFFFF"/>
        </w:rPr>
        <w:t>交接</w:t>
      </w:r>
      <w:r>
        <w:rPr>
          <w:rFonts w:ascii="宋体" w:hAnsi="宋体"/>
          <w:sz w:val="24"/>
          <w:szCs w:val="24"/>
          <w:shd w:val="clear" w:color="auto" w:fill="FFFFFF"/>
        </w:rPr>
        <w:t>日期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（时间）</w:t>
      </w:r>
      <w:r>
        <w:rPr>
          <w:rFonts w:ascii="宋体" w:hAnsi="宋体"/>
          <w:sz w:val="24"/>
          <w:szCs w:val="24"/>
          <w:shd w:val="clear" w:color="auto" w:fill="FFFFFF"/>
        </w:rPr>
        <w:t>：</w:t>
      </w:r>
    </w:p>
    <w:sectPr w:rsidR="00B84E99" w:rsidSect="00B8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B8" w:rsidRDefault="00D777B8" w:rsidP="00224A77">
      <w:r>
        <w:separator/>
      </w:r>
    </w:p>
  </w:endnote>
  <w:endnote w:type="continuationSeparator" w:id="0">
    <w:p w:rsidR="00D777B8" w:rsidRDefault="00D777B8" w:rsidP="0022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B8" w:rsidRDefault="00D777B8" w:rsidP="00224A77">
      <w:r>
        <w:separator/>
      </w:r>
    </w:p>
  </w:footnote>
  <w:footnote w:type="continuationSeparator" w:id="0">
    <w:p w:rsidR="00D777B8" w:rsidRDefault="00D777B8" w:rsidP="0022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E99"/>
    <w:rsid w:val="00224A77"/>
    <w:rsid w:val="0070092D"/>
    <w:rsid w:val="00B84E99"/>
    <w:rsid w:val="00D777B8"/>
    <w:rsid w:val="436246A6"/>
    <w:rsid w:val="68D4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84E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A77"/>
    <w:rPr>
      <w:kern w:val="2"/>
      <w:sz w:val="18"/>
      <w:szCs w:val="18"/>
    </w:rPr>
  </w:style>
  <w:style w:type="paragraph" w:styleId="a4">
    <w:name w:val="footer"/>
    <w:basedOn w:val="a"/>
    <w:link w:val="Char0"/>
    <w:rsid w:val="0022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4A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2020-07-29T10:51:00Z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